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B9" w:rsidRDefault="004A755F">
      <w:r>
        <w:t>Andrea Dehnke</w:t>
      </w:r>
    </w:p>
    <w:p w:rsidR="004A755F" w:rsidRDefault="004A755F">
      <w:r>
        <w:t>Philosophy</w:t>
      </w:r>
    </w:p>
    <w:p w:rsidR="004A755F" w:rsidRDefault="004A755F">
      <w:r>
        <w:t>4-29-13</w:t>
      </w:r>
    </w:p>
    <w:p w:rsidR="009E62A9" w:rsidRDefault="009E62A9">
      <w:r>
        <w:t>Philosophical Problem Essay</w:t>
      </w:r>
    </w:p>
    <w:p w:rsidR="004A755F" w:rsidRDefault="004A755F">
      <w:r>
        <w:t>SLCC</w:t>
      </w:r>
    </w:p>
    <w:p w:rsidR="004A755F" w:rsidRDefault="004A755F"/>
    <w:p w:rsidR="009E62A9" w:rsidRDefault="009E62A9"/>
    <w:p w:rsidR="005B7BDD" w:rsidRPr="005B7BDD" w:rsidRDefault="005B7BDD" w:rsidP="005B7BDD">
      <w:pPr>
        <w:jc w:val="center"/>
        <w:rPr>
          <w:b/>
          <w:sz w:val="24"/>
          <w:szCs w:val="24"/>
        </w:rPr>
      </w:pPr>
      <w:r w:rsidRPr="005B7BDD">
        <w:rPr>
          <w:b/>
          <w:sz w:val="24"/>
          <w:szCs w:val="24"/>
        </w:rPr>
        <w:t>The Problem of Induction</w:t>
      </w:r>
    </w:p>
    <w:p w:rsidR="004A755F" w:rsidRDefault="004A755F"/>
    <w:p w:rsidR="009E62A9" w:rsidRDefault="009E62A9"/>
    <w:p w:rsidR="00037476" w:rsidRDefault="00037476"/>
    <w:p w:rsidR="004A755F" w:rsidRPr="009F3AF5" w:rsidRDefault="001D01B7" w:rsidP="009E62A9">
      <w:pPr>
        <w:spacing w:line="480" w:lineRule="auto"/>
        <w:rPr>
          <w:rFonts w:cs="Times New Roman"/>
          <w:sz w:val="24"/>
          <w:szCs w:val="24"/>
        </w:rPr>
      </w:pPr>
      <w:r>
        <w:tab/>
      </w:r>
      <w:r w:rsidRPr="009F3AF5">
        <w:rPr>
          <w:rFonts w:cs="Times New Roman"/>
          <w:sz w:val="24"/>
          <w:szCs w:val="24"/>
        </w:rPr>
        <w:t>Scottish philosopher David Hume divides reason into two sections</w:t>
      </w:r>
      <w:r w:rsidR="005B7BDD" w:rsidRPr="009F3AF5">
        <w:rPr>
          <w:rFonts w:cs="Times New Roman"/>
          <w:sz w:val="24"/>
          <w:szCs w:val="24"/>
        </w:rPr>
        <w:t>, known as Hume’s Fork</w:t>
      </w:r>
      <w:r w:rsidRPr="009F3AF5">
        <w:rPr>
          <w:rFonts w:cs="Times New Roman"/>
          <w:sz w:val="24"/>
          <w:szCs w:val="24"/>
        </w:rPr>
        <w:t>. The first</w:t>
      </w:r>
      <w:r w:rsidR="00AA1082" w:rsidRPr="009F3AF5">
        <w:rPr>
          <w:rFonts w:cs="Times New Roman"/>
          <w:sz w:val="24"/>
          <w:szCs w:val="24"/>
        </w:rPr>
        <w:t xml:space="preserve"> being “relations of ideas,” and the second known as “matters of fact.” The former refers to “every affirmation which is either intuitively or demonstratively certain (Hume),” further explained as mathematical concepts, or a definition (all bachelors are unmarried men). Any truth for which there is no contradiction, or cannot be negated, is a relation of ideas (Rosen)</w:t>
      </w:r>
      <w:r w:rsidR="0087216A" w:rsidRPr="009F3AF5">
        <w:rPr>
          <w:rFonts w:cs="Times New Roman"/>
          <w:sz w:val="24"/>
          <w:szCs w:val="24"/>
        </w:rPr>
        <w:t>, and can be known without experience</w:t>
      </w:r>
      <w:r w:rsidR="00AA1082" w:rsidRPr="009F3AF5">
        <w:rPr>
          <w:rFonts w:cs="Times New Roman"/>
          <w:sz w:val="24"/>
          <w:szCs w:val="24"/>
        </w:rPr>
        <w:t>.</w:t>
      </w:r>
      <w:r w:rsidR="0052108A" w:rsidRPr="009F3AF5">
        <w:rPr>
          <w:rFonts w:cs="Times New Roman"/>
          <w:sz w:val="24"/>
          <w:szCs w:val="24"/>
        </w:rPr>
        <w:t xml:space="preserve"> In regards to the latter, Hume states in </w:t>
      </w:r>
      <w:r w:rsidR="0052108A" w:rsidRPr="009F3AF5">
        <w:rPr>
          <w:rFonts w:cs="Times New Roman"/>
          <w:i/>
          <w:sz w:val="24"/>
          <w:szCs w:val="24"/>
        </w:rPr>
        <w:t xml:space="preserve">An Enquiry Concerning Human Understanding, </w:t>
      </w:r>
      <w:r w:rsidR="0052108A" w:rsidRPr="009F3AF5">
        <w:rPr>
          <w:rFonts w:cs="Times New Roman"/>
          <w:sz w:val="24"/>
          <w:szCs w:val="24"/>
        </w:rPr>
        <w:t>“The contrary of every matter of fact is still possible.”</w:t>
      </w:r>
      <w:r w:rsidR="005B7BDD" w:rsidRPr="009F3AF5">
        <w:rPr>
          <w:rFonts w:cs="Times New Roman"/>
          <w:sz w:val="24"/>
          <w:szCs w:val="24"/>
        </w:rPr>
        <w:t xml:space="preserve"> If a proposition can be contradicted and still make rational sense, it is a matter of fact (Rosen)</w:t>
      </w:r>
      <w:r w:rsidR="0087216A" w:rsidRPr="009F3AF5">
        <w:rPr>
          <w:rFonts w:cs="Times New Roman"/>
          <w:sz w:val="24"/>
          <w:szCs w:val="24"/>
        </w:rPr>
        <w:t>, and is known from experience</w:t>
      </w:r>
      <w:r w:rsidR="005B7BDD" w:rsidRPr="009F3AF5">
        <w:rPr>
          <w:rFonts w:cs="Times New Roman"/>
          <w:sz w:val="24"/>
          <w:szCs w:val="24"/>
        </w:rPr>
        <w:t>.</w:t>
      </w:r>
      <w:r w:rsidR="002A0A7E" w:rsidRPr="009F3AF5">
        <w:rPr>
          <w:rFonts w:cs="Times New Roman"/>
          <w:sz w:val="24"/>
          <w:szCs w:val="24"/>
        </w:rPr>
        <w:t xml:space="preserve"> Hume argued that all unobserved matters of fact were linked to previous similar experiences.</w:t>
      </w:r>
      <w:r w:rsidR="00AD4841" w:rsidRPr="009F3AF5">
        <w:rPr>
          <w:rFonts w:cs="Times New Roman"/>
          <w:sz w:val="24"/>
          <w:szCs w:val="24"/>
        </w:rPr>
        <w:t xml:space="preserve"> Although Hume never mentions induction in any of his arguments, the phrase is modernly connected with his philosophical ideas</w:t>
      </w:r>
      <w:r w:rsidR="00367CE8" w:rsidRPr="009F3AF5">
        <w:rPr>
          <w:rFonts w:cs="Times New Roman"/>
          <w:sz w:val="24"/>
          <w:szCs w:val="24"/>
        </w:rPr>
        <w:t xml:space="preserve"> (Vickers)</w:t>
      </w:r>
      <w:r w:rsidR="00AD4841" w:rsidRPr="009F3AF5">
        <w:rPr>
          <w:rFonts w:cs="Times New Roman"/>
          <w:sz w:val="24"/>
          <w:szCs w:val="24"/>
        </w:rPr>
        <w:t>.</w:t>
      </w:r>
    </w:p>
    <w:p w:rsidR="000B4315" w:rsidRDefault="000B4315" w:rsidP="009E62A9">
      <w:pPr>
        <w:spacing w:line="480" w:lineRule="auto"/>
        <w:rPr>
          <w:rFonts w:cs="Times New Roman"/>
          <w:sz w:val="24"/>
          <w:szCs w:val="24"/>
        </w:rPr>
      </w:pPr>
      <w:r w:rsidRPr="009F3AF5">
        <w:rPr>
          <w:rFonts w:cs="Times New Roman"/>
          <w:sz w:val="24"/>
          <w:szCs w:val="24"/>
        </w:rPr>
        <w:tab/>
        <w:t>Inductive reasoning is defined as “generalized rules or principles established with degrees</w:t>
      </w:r>
      <w:r w:rsidR="002A0A7E" w:rsidRPr="009F3AF5">
        <w:rPr>
          <w:rFonts w:cs="Times New Roman"/>
          <w:sz w:val="24"/>
          <w:szCs w:val="24"/>
        </w:rPr>
        <w:t xml:space="preserve"> of </w:t>
      </w:r>
      <w:r w:rsidRPr="009F3AF5">
        <w:rPr>
          <w:rFonts w:cs="Times New Roman"/>
          <w:sz w:val="24"/>
          <w:szCs w:val="24"/>
        </w:rPr>
        <w:t>probability (Soccio).”</w:t>
      </w:r>
      <w:r w:rsidR="00964F26" w:rsidRPr="009F3AF5">
        <w:rPr>
          <w:rFonts w:cs="Times New Roman"/>
          <w:sz w:val="24"/>
          <w:szCs w:val="24"/>
        </w:rPr>
        <w:t xml:space="preserve"> </w:t>
      </w:r>
      <w:r w:rsidR="00F33318">
        <w:rPr>
          <w:rFonts w:cs="Times New Roman"/>
          <w:sz w:val="24"/>
          <w:szCs w:val="24"/>
        </w:rPr>
        <w:t xml:space="preserve">Hume argued </w:t>
      </w:r>
      <w:r w:rsidR="00AD4841" w:rsidRPr="009F3AF5">
        <w:rPr>
          <w:rFonts w:cs="Times New Roman"/>
          <w:sz w:val="24"/>
          <w:szCs w:val="24"/>
        </w:rPr>
        <w:t xml:space="preserve">“All beliefs about unobserved matters of fact are derived from experience by induction (Rosen).” </w:t>
      </w:r>
      <w:r w:rsidR="00964F26" w:rsidRPr="009F3AF5">
        <w:rPr>
          <w:rFonts w:cs="Times New Roman"/>
          <w:sz w:val="24"/>
          <w:szCs w:val="24"/>
        </w:rPr>
        <w:t>The pro</w:t>
      </w:r>
      <w:r w:rsidR="00442A00" w:rsidRPr="009F3AF5">
        <w:rPr>
          <w:rFonts w:cs="Times New Roman"/>
          <w:sz w:val="24"/>
          <w:szCs w:val="24"/>
        </w:rPr>
        <w:t xml:space="preserve">blem of induction is that we can only assume things about the future based on our past experiences related to that instance. But Hume believes that you cannot know anything for certain about an event without actually experiencing it first. Therefore, you can’t know anything for certain about the future. In my </w:t>
      </w:r>
      <w:r w:rsidR="00442A00" w:rsidRPr="009F3AF5">
        <w:rPr>
          <w:rFonts w:cs="Times New Roman"/>
          <w:sz w:val="24"/>
          <w:szCs w:val="24"/>
        </w:rPr>
        <w:lastRenderedPageBreak/>
        <w:t xml:space="preserve">personal experience, the sun has risen every morning and set every evening, so I can rightly assume that tomorrow the sun will rise and set as it always have. But I cannot know for certain that the sun </w:t>
      </w:r>
      <w:r w:rsidR="00442A00" w:rsidRPr="009F3AF5">
        <w:rPr>
          <w:rFonts w:cs="Times New Roman"/>
          <w:i/>
          <w:sz w:val="24"/>
          <w:szCs w:val="24"/>
        </w:rPr>
        <w:t xml:space="preserve">will </w:t>
      </w:r>
      <w:r w:rsidR="00442A00" w:rsidRPr="009F3AF5">
        <w:rPr>
          <w:rFonts w:cs="Times New Roman"/>
          <w:sz w:val="24"/>
          <w:szCs w:val="24"/>
        </w:rPr>
        <w:t>rise tomorrow until it actually happens.</w:t>
      </w:r>
      <w:r w:rsidR="0016439B" w:rsidRPr="009F3AF5">
        <w:rPr>
          <w:rFonts w:cs="Times New Roman"/>
          <w:sz w:val="24"/>
          <w:szCs w:val="24"/>
        </w:rPr>
        <w:t xml:space="preserve"> John Vickers elaborates “One or several </w:t>
      </w:r>
      <w:r w:rsidR="0016439B" w:rsidRPr="009F3AF5">
        <w:rPr>
          <w:rFonts w:cs="Times New Roman"/>
          <w:i/>
          <w:sz w:val="24"/>
          <w:szCs w:val="24"/>
        </w:rPr>
        <w:t>A</w:t>
      </w:r>
      <w:r w:rsidR="0016439B" w:rsidRPr="009F3AF5">
        <w:rPr>
          <w:rFonts w:cs="Times New Roman"/>
          <w:sz w:val="24"/>
          <w:szCs w:val="24"/>
        </w:rPr>
        <w:t xml:space="preserve">’s have been observed to be </w:t>
      </w:r>
      <w:r w:rsidR="0016439B" w:rsidRPr="009F3AF5">
        <w:rPr>
          <w:rFonts w:cs="Times New Roman"/>
          <w:i/>
          <w:sz w:val="24"/>
          <w:szCs w:val="24"/>
        </w:rPr>
        <w:t>B</w:t>
      </w:r>
      <w:r w:rsidR="0016439B" w:rsidRPr="009F3AF5">
        <w:rPr>
          <w:rFonts w:cs="Times New Roman"/>
          <w:sz w:val="24"/>
          <w:szCs w:val="24"/>
        </w:rPr>
        <w:t xml:space="preserve">’s, and no </w:t>
      </w:r>
      <w:r w:rsidR="0016439B" w:rsidRPr="009F3AF5">
        <w:rPr>
          <w:rFonts w:cs="Times New Roman"/>
          <w:i/>
          <w:sz w:val="24"/>
          <w:szCs w:val="24"/>
        </w:rPr>
        <w:t>A</w:t>
      </w:r>
      <w:r w:rsidR="0016439B" w:rsidRPr="009F3AF5">
        <w:rPr>
          <w:rFonts w:cs="Times New Roman"/>
          <w:sz w:val="24"/>
          <w:szCs w:val="24"/>
        </w:rPr>
        <w:t xml:space="preserve">’s are known to not be </w:t>
      </w:r>
      <w:r w:rsidR="0016439B" w:rsidRPr="009F3AF5">
        <w:rPr>
          <w:rFonts w:cs="Times New Roman"/>
          <w:i/>
          <w:sz w:val="24"/>
          <w:szCs w:val="24"/>
        </w:rPr>
        <w:t>B</w:t>
      </w:r>
      <w:r w:rsidR="0016439B" w:rsidRPr="009F3AF5">
        <w:rPr>
          <w:rFonts w:cs="Times New Roman"/>
          <w:sz w:val="24"/>
          <w:szCs w:val="24"/>
        </w:rPr>
        <w:t xml:space="preserve">’s. [Therefore] All </w:t>
      </w:r>
      <w:r w:rsidR="0016439B" w:rsidRPr="009F3AF5">
        <w:rPr>
          <w:rFonts w:cs="Times New Roman"/>
          <w:i/>
          <w:sz w:val="24"/>
          <w:szCs w:val="24"/>
        </w:rPr>
        <w:t>A</w:t>
      </w:r>
      <w:r w:rsidR="0016439B" w:rsidRPr="009F3AF5">
        <w:rPr>
          <w:rFonts w:cs="Times New Roman"/>
          <w:sz w:val="24"/>
          <w:szCs w:val="24"/>
        </w:rPr>
        <w:t xml:space="preserve">’s are </w:t>
      </w:r>
      <w:r w:rsidR="0016439B" w:rsidRPr="009F3AF5">
        <w:rPr>
          <w:rFonts w:cs="Times New Roman"/>
          <w:i/>
          <w:sz w:val="24"/>
          <w:szCs w:val="24"/>
        </w:rPr>
        <w:t>B</w:t>
      </w:r>
      <w:r w:rsidR="0016439B" w:rsidRPr="009F3AF5">
        <w:rPr>
          <w:rFonts w:cs="Times New Roman"/>
          <w:sz w:val="24"/>
          <w:szCs w:val="24"/>
        </w:rPr>
        <w:t>’s.”</w:t>
      </w:r>
      <w:r w:rsidR="009F3AF5" w:rsidRPr="009F3AF5">
        <w:rPr>
          <w:rFonts w:cs="Times New Roman"/>
          <w:sz w:val="24"/>
          <w:szCs w:val="24"/>
        </w:rPr>
        <w:t xml:space="preserve"> But we can’t know that we will eventually come across something where </w:t>
      </w:r>
      <w:r w:rsidR="009F3AF5" w:rsidRPr="009F3AF5">
        <w:rPr>
          <w:rFonts w:cs="Times New Roman"/>
          <w:i/>
          <w:sz w:val="24"/>
          <w:szCs w:val="24"/>
        </w:rPr>
        <w:t xml:space="preserve">A </w:t>
      </w:r>
      <w:r w:rsidR="009F3AF5" w:rsidRPr="009F3AF5">
        <w:rPr>
          <w:rFonts w:cs="Times New Roman"/>
          <w:sz w:val="24"/>
          <w:szCs w:val="24"/>
        </w:rPr>
        <w:t xml:space="preserve">is not </w:t>
      </w:r>
      <w:r w:rsidR="009F3AF5" w:rsidRPr="009F3AF5">
        <w:rPr>
          <w:rFonts w:cs="Times New Roman"/>
          <w:i/>
          <w:sz w:val="24"/>
          <w:szCs w:val="24"/>
        </w:rPr>
        <w:t>B</w:t>
      </w:r>
      <w:r w:rsidR="009F3AF5" w:rsidRPr="009F3AF5">
        <w:rPr>
          <w:rFonts w:cs="Times New Roman"/>
          <w:sz w:val="24"/>
          <w:szCs w:val="24"/>
        </w:rPr>
        <w:t xml:space="preserve">. “It is logically possible for the conclusion to be false when the premise </w:t>
      </w:r>
      <w:r w:rsidR="000D3484">
        <w:rPr>
          <w:rFonts w:cs="Times New Roman"/>
          <w:sz w:val="24"/>
          <w:szCs w:val="24"/>
        </w:rPr>
        <w:t xml:space="preserve">[that all </w:t>
      </w:r>
      <w:r w:rsidR="000D3484">
        <w:rPr>
          <w:rFonts w:cs="Times New Roman"/>
          <w:i/>
          <w:sz w:val="24"/>
          <w:szCs w:val="24"/>
        </w:rPr>
        <w:t>A</w:t>
      </w:r>
      <w:r w:rsidR="000D3484">
        <w:rPr>
          <w:rFonts w:cs="Times New Roman"/>
          <w:sz w:val="24"/>
          <w:szCs w:val="24"/>
        </w:rPr>
        <w:t>’s</w:t>
      </w:r>
      <w:r w:rsidR="000D3484">
        <w:rPr>
          <w:rFonts w:cs="Times New Roman"/>
          <w:i/>
          <w:sz w:val="24"/>
          <w:szCs w:val="24"/>
        </w:rPr>
        <w:t xml:space="preserve"> </w:t>
      </w:r>
      <w:r w:rsidR="000D3484">
        <w:rPr>
          <w:rFonts w:cs="Times New Roman"/>
          <w:sz w:val="24"/>
          <w:szCs w:val="24"/>
        </w:rPr>
        <w:t xml:space="preserve">are </w:t>
      </w:r>
      <w:r w:rsidR="000D3484">
        <w:rPr>
          <w:rFonts w:cs="Times New Roman"/>
          <w:i/>
          <w:sz w:val="24"/>
          <w:szCs w:val="24"/>
        </w:rPr>
        <w:t>B</w:t>
      </w:r>
      <w:r w:rsidR="000D3484">
        <w:rPr>
          <w:rFonts w:cs="Times New Roman"/>
          <w:sz w:val="24"/>
          <w:szCs w:val="24"/>
        </w:rPr>
        <w:t xml:space="preserve">’s] </w:t>
      </w:r>
      <w:r w:rsidR="009F3AF5" w:rsidRPr="000D3484">
        <w:rPr>
          <w:rFonts w:cs="Times New Roman"/>
          <w:sz w:val="24"/>
          <w:szCs w:val="24"/>
        </w:rPr>
        <w:t>is</w:t>
      </w:r>
      <w:r w:rsidR="009F3AF5" w:rsidRPr="009F3AF5">
        <w:rPr>
          <w:rFonts w:cs="Times New Roman"/>
          <w:sz w:val="24"/>
          <w:szCs w:val="24"/>
        </w:rPr>
        <w:t xml:space="preserve"> true (Rosen).”</w:t>
      </w:r>
      <w:r w:rsidR="00A05F89">
        <w:rPr>
          <w:rFonts w:cs="Times New Roman"/>
          <w:sz w:val="24"/>
          <w:szCs w:val="24"/>
        </w:rPr>
        <w:t xml:space="preserve"> Hume also stated that one cannot determine cause—we may only experience effect (Payne).</w:t>
      </w:r>
      <w:r w:rsidR="00005167">
        <w:rPr>
          <w:rFonts w:cs="Times New Roman"/>
          <w:sz w:val="24"/>
          <w:szCs w:val="24"/>
        </w:rPr>
        <w:t xml:space="preserve"> We don’t know for certain that one specific event has to follow another, just that it “happens to follow another (Soccio).”</w:t>
      </w:r>
    </w:p>
    <w:p w:rsidR="00D409D8" w:rsidRPr="00336ED0" w:rsidRDefault="00D409D8" w:rsidP="009E62A9">
      <w:pPr>
        <w:spacing w:line="480" w:lineRule="auto"/>
        <w:rPr>
          <w:rFonts w:cs="Times New Roman"/>
          <w:sz w:val="24"/>
          <w:szCs w:val="24"/>
        </w:rPr>
      </w:pPr>
      <w:r>
        <w:rPr>
          <w:rFonts w:cs="Times New Roman"/>
          <w:sz w:val="24"/>
          <w:szCs w:val="24"/>
        </w:rPr>
        <w:tab/>
      </w:r>
      <w:r w:rsidR="00610E86">
        <w:rPr>
          <w:rFonts w:cs="Times New Roman"/>
          <w:sz w:val="24"/>
          <w:szCs w:val="24"/>
        </w:rPr>
        <w:t xml:space="preserve">Karl Popper, another philosopher, provided a negative solution to Hume’s Problem of Induction. While Popper admitted that one cannot determine Absolute Truth from his method of “conjecture and refutation (Payne),” </w:t>
      </w:r>
      <w:r w:rsidR="00A05F89">
        <w:rPr>
          <w:rFonts w:cs="Times New Roman"/>
          <w:sz w:val="24"/>
          <w:szCs w:val="24"/>
        </w:rPr>
        <w:t xml:space="preserve">he concluded </w:t>
      </w:r>
      <w:r w:rsidR="00A05F89" w:rsidRPr="00005167">
        <w:rPr>
          <w:rFonts w:cs="Times New Roman"/>
          <w:sz w:val="24"/>
          <w:szCs w:val="24"/>
        </w:rPr>
        <w:t>that</w:t>
      </w:r>
      <w:r w:rsidR="00291AFA" w:rsidRPr="00005167">
        <w:rPr>
          <w:rFonts w:cs="Times New Roman"/>
          <w:sz w:val="24"/>
          <w:szCs w:val="24"/>
        </w:rPr>
        <w:t xml:space="preserve"> making conjectures about </w:t>
      </w:r>
      <w:r w:rsidR="00956D31" w:rsidRPr="00005167">
        <w:rPr>
          <w:rFonts w:cs="Times New Roman"/>
          <w:sz w:val="24"/>
          <w:szCs w:val="24"/>
        </w:rPr>
        <w:t xml:space="preserve">events can be proven false through the use of scientific method. </w:t>
      </w:r>
      <w:r w:rsidR="00005167" w:rsidRPr="00005167">
        <w:rPr>
          <w:rFonts w:cs="Times New Roman"/>
          <w:sz w:val="24"/>
          <w:szCs w:val="24"/>
        </w:rPr>
        <w:t>“</w:t>
      </w:r>
      <w:r w:rsidR="00005167" w:rsidRPr="00005167">
        <w:rPr>
          <w:sz w:val="24"/>
          <w:szCs w:val="24"/>
        </w:rPr>
        <w:t>…no amount of evidence is capable of inductively confirming hypotheses in the sense of giving us positive reason for thinking our hypotheses are true.  Evidence in agreement with a hypothesis never provides it with inductive confirmation</w:t>
      </w:r>
      <w:r w:rsidR="00005167">
        <w:rPr>
          <w:sz w:val="24"/>
          <w:szCs w:val="24"/>
        </w:rPr>
        <w:t xml:space="preserve"> (Payne)</w:t>
      </w:r>
      <w:r w:rsidR="00005167" w:rsidRPr="00005167">
        <w:rPr>
          <w:sz w:val="24"/>
          <w:szCs w:val="24"/>
        </w:rPr>
        <w:t>.”</w:t>
      </w:r>
      <w:r w:rsidR="00956D31" w:rsidRPr="00005167">
        <w:rPr>
          <w:rFonts w:cs="Times New Roman"/>
          <w:sz w:val="24"/>
          <w:szCs w:val="24"/>
        </w:rPr>
        <w:t>He</w:t>
      </w:r>
      <w:r w:rsidR="00956D31">
        <w:rPr>
          <w:rFonts w:cs="Times New Roman"/>
          <w:sz w:val="24"/>
          <w:szCs w:val="24"/>
        </w:rPr>
        <w:t xml:space="preserve"> also agreed with Hume that you </w:t>
      </w:r>
      <w:r w:rsidR="00956D31" w:rsidRPr="00336ED0">
        <w:rPr>
          <w:rFonts w:cs="Times New Roman"/>
          <w:sz w:val="24"/>
          <w:szCs w:val="24"/>
        </w:rPr>
        <w:t>can’</w:t>
      </w:r>
      <w:r w:rsidR="00005167" w:rsidRPr="00336ED0">
        <w:rPr>
          <w:rFonts w:cs="Times New Roman"/>
          <w:sz w:val="24"/>
          <w:szCs w:val="24"/>
        </w:rPr>
        <w:t>t determine causation (Haselhurst</w:t>
      </w:r>
      <w:r w:rsidR="00956D31" w:rsidRPr="00336ED0">
        <w:rPr>
          <w:rFonts w:cs="Times New Roman"/>
          <w:sz w:val="24"/>
          <w:szCs w:val="24"/>
        </w:rPr>
        <w:t>).</w:t>
      </w:r>
    </w:p>
    <w:p w:rsidR="00005167" w:rsidRPr="00336ED0" w:rsidRDefault="00005167" w:rsidP="009E62A9">
      <w:pPr>
        <w:spacing w:line="480" w:lineRule="auto"/>
        <w:rPr>
          <w:rFonts w:cs="Times New Roman"/>
          <w:sz w:val="24"/>
          <w:szCs w:val="24"/>
        </w:rPr>
      </w:pPr>
      <w:r w:rsidRPr="00336ED0">
        <w:rPr>
          <w:rFonts w:cs="Times New Roman"/>
          <w:sz w:val="24"/>
          <w:szCs w:val="24"/>
        </w:rPr>
        <w:tab/>
      </w:r>
      <w:r w:rsidR="00336ED0" w:rsidRPr="00336ED0">
        <w:rPr>
          <w:rFonts w:cs="Times New Roman"/>
          <w:sz w:val="24"/>
          <w:szCs w:val="24"/>
        </w:rPr>
        <w:t xml:space="preserve">Contrary to Popper, some philosophers believe that truth can indeed be derived from induction of past experience. James Anderson says that </w:t>
      </w:r>
      <w:r w:rsidR="00336ED0" w:rsidRPr="00336ED0">
        <w:rPr>
          <w:rFonts w:cs="Times New Roman"/>
          <w:color w:val="000000"/>
          <w:sz w:val="24"/>
          <w:szCs w:val="24"/>
          <w:lang/>
        </w:rPr>
        <w:t>Frederick L. Will</w:t>
      </w:r>
      <w:r w:rsidR="00336ED0">
        <w:rPr>
          <w:rFonts w:cs="Times New Roman"/>
          <w:color w:val="000000"/>
          <w:sz w:val="24"/>
          <w:szCs w:val="24"/>
          <w:lang/>
        </w:rPr>
        <w:t xml:space="preserve"> believes “future” can refer to the continually unreachable point in time beyond the present, or the future that occurs in the present. When an even happens in the “</w:t>
      </w:r>
      <w:r w:rsidR="00336ED0" w:rsidRPr="003B37DC">
        <w:rPr>
          <w:rFonts w:cs="Times New Roman"/>
          <w:color w:val="000000"/>
          <w:sz w:val="24"/>
          <w:szCs w:val="24"/>
          <w:lang/>
        </w:rPr>
        <w:t xml:space="preserve">present future,” it is now an instance that can be known for certain about the future. The main issue with Will is that he is referring to an event </w:t>
      </w:r>
      <w:r w:rsidR="00336ED0" w:rsidRPr="003B37DC">
        <w:rPr>
          <w:rFonts w:cs="Times New Roman"/>
          <w:color w:val="000000"/>
          <w:sz w:val="24"/>
          <w:szCs w:val="24"/>
          <w:lang/>
        </w:rPr>
        <w:lastRenderedPageBreak/>
        <w:t>that still requires observation (Anderson).</w:t>
      </w:r>
      <w:r w:rsidR="003B37DC" w:rsidRPr="003B37DC">
        <w:rPr>
          <w:rFonts w:cs="Times New Roman"/>
          <w:color w:val="000000"/>
          <w:sz w:val="24"/>
          <w:szCs w:val="24"/>
          <w:lang/>
        </w:rPr>
        <w:t xml:space="preserve"> </w:t>
      </w:r>
      <w:r w:rsidR="003B37DC" w:rsidRPr="003B37DC">
        <w:rPr>
          <w:color w:val="000000"/>
          <w:sz w:val="24"/>
          <w:szCs w:val="24"/>
          <w:lang/>
        </w:rPr>
        <w:t xml:space="preserve">Hans Reichenbach’s </w:t>
      </w:r>
      <w:r w:rsidR="003B37DC">
        <w:rPr>
          <w:color w:val="000000"/>
          <w:sz w:val="24"/>
          <w:szCs w:val="24"/>
          <w:lang/>
        </w:rPr>
        <w:t>postulation is that, while inductive reasoning cannot be certain, it is our best bet in reasoning for future circumstances, in comparison with other methods of reason.</w:t>
      </w:r>
      <w:r w:rsidR="001E09F8">
        <w:rPr>
          <w:color w:val="000000"/>
          <w:sz w:val="24"/>
          <w:szCs w:val="24"/>
          <w:lang/>
        </w:rPr>
        <w:t xml:space="preserve"> While an imperfect method, induction is the most likely form of reason to determine what could happen in the future.</w:t>
      </w:r>
    </w:p>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1D01B7" w:rsidRDefault="001D01B7"/>
    <w:p w:rsidR="0031534F" w:rsidRDefault="0031534F"/>
    <w:p w:rsidR="001D01B7" w:rsidRPr="006D2186" w:rsidRDefault="001D01B7" w:rsidP="006D2186">
      <w:pPr>
        <w:jc w:val="center"/>
        <w:rPr>
          <w:b/>
        </w:rPr>
      </w:pPr>
      <w:r w:rsidRPr="006D2186">
        <w:rPr>
          <w:b/>
        </w:rPr>
        <w:lastRenderedPageBreak/>
        <w:t>Works Cited</w:t>
      </w:r>
    </w:p>
    <w:p w:rsidR="001D01B7" w:rsidRDefault="001D01B7"/>
    <w:p w:rsidR="00336ED0" w:rsidRDefault="00336ED0" w:rsidP="00A05F89">
      <w:pPr>
        <w:ind w:firstLine="720"/>
      </w:pPr>
      <w:r>
        <w:t xml:space="preserve">Anderson, James N. (2000). “Secular Responses to the Problem of Induction.” </w:t>
      </w:r>
      <w:r w:rsidRPr="00336ED0">
        <w:t>http://www.proginosko.com/docs/induction.html</w:t>
      </w:r>
      <w:r>
        <w:t>.</w:t>
      </w:r>
    </w:p>
    <w:p w:rsidR="00336ED0" w:rsidRDefault="00336ED0" w:rsidP="00A05F89">
      <w:pPr>
        <w:ind w:firstLine="720"/>
      </w:pPr>
    </w:p>
    <w:p w:rsidR="00A05F89" w:rsidRDefault="00A05F89" w:rsidP="00A05F89">
      <w:pPr>
        <w:ind w:firstLine="720"/>
      </w:pPr>
      <w:r>
        <w:t xml:space="preserve">Haselhurst, Geoff (11 Sept 2012). “Karl Popper: Discussion of Metaphysics/Philosophy of Karl Popper’s Problem of Induction &amp; the Evolution of Absolute Truth.” </w:t>
      </w:r>
      <w:r w:rsidRPr="00A05F89">
        <w:t>http://www.spaceandmotion.com/Philosophy-Karl-Popper.htm</w:t>
      </w:r>
      <w:r>
        <w:t>.</w:t>
      </w:r>
    </w:p>
    <w:p w:rsidR="00A05F89" w:rsidRDefault="00A05F89" w:rsidP="00367CE8">
      <w:pPr>
        <w:ind w:firstLine="720"/>
      </w:pPr>
    </w:p>
    <w:p w:rsidR="001D01B7" w:rsidRDefault="001D01B7" w:rsidP="00367CE8">
      <w:pPr>
        <w:ind w:firstLine="720"/>
      </w:pPr>
      <w:r>
        <w:t>Hume, David (1748). “An Enquiry Concerning Human Understanding.”</w:t>
      </w:r>
    </w:p>
    <w:p w:rsidR="00AA1082" w:rsidRDefault="00AA1082"/>
    <w:p w:rsidR="00610E86" w:rsidRDefault="00610E86" w:rsidP="00610E86">
      <w:pPr>
        <w:ind w:firstLine="720"/>
      </w:pPr>
      <w:r>
        <w:t xml:space="preserve">Payne, W. Russ. “Karl Popper.” </w:t>
      </w:r>
      <w:r w:rsidRPr="00D409D8">
        <w:t>http://personal.bellevuecollege.edu/wpayne/karl_popper.htm</w:t>
      </w:r>
      <w:r>
        <w:t>.</w:t>
      </w:r>
    </w:p>
    <w:p w:rsidR="00610E86" w:rsidRDefault="00610E86" w:rsidP="00367CE8">
      <w:pPr>
        <w:ind w:firstLine="720"/>
      </w:pPr>
    </w:p>
    <w:p w:rsidR="00AA1082" w:rsidRDefault="00AA1082" w:rsidP="00367CE8">
      <w:pPr>
        <w:ind w:firstLine="720"/>
      </w:pPr>
      <w:r>
        <w:t xml:space="preserve">Rosen, Gideon (1 Mar 1999). “The Problem of Induction.” </w:t>
      </w:r>
      <w:r w:rsidR="00A05F89">
        <w:t xml:space="preserve">Princeton University. </w:t>
      </w:r>
      <w:r w:rsidRPr="00AA1082">
        <w:t>http://www.princeton.edu/~grosen/puc/phi203/induction.html</w:t>
      </w:r>
      <w:r>
        <w:t>.</w:t>
      </w:r>
    </w:p>
    <w:p w:rsidR="00B6450B" w:rsidRDefault="00B6450B"/>
    <w:p w:rsidR="00B6450B" w:rsidRDefault="00B6450B" w:rsidP="00367CE8">
      <w:pPr>
        <w:ind w:firstLine="720"/>
      </w:pPr>
      <w:r>
        <w:t>Soccio, Douglas J. (</w:t>
      </w:r>
      <w:r w:rsidR="006D2186">
        <w:t>2013). “Archetypes of Wisdom.” Wadsworth, Cenage Learning, Boston.</w:t>
      </w:r>
    </w:p>
    <w:p w:rsidR="00367CE8" w:rsidRDefault="00367CE8"/>
    <w:p w:rsidR="00367CE8" w:rsidRPr="00367CE8" w:rsidRDefault="00367CE8" w:rsidP="00367CE8">
      <w:pPr>
        <w:ind w:firstLine="720"/>
      </w:pPr>
      <w:r>
        <w:t xml:space="preserve">Vickers, John (24 Oct 2012). “The Problem of Induction,” </w:t>
      </w:r>
      <w:r>
        <w:rPr>
          <w:i/>
        </w:rPr>
        <w:t>The Stanford Encyclopedia of Philosophy.</w:t>
      </w:r>
      <w:r>
        <w:t xml:space="preserve"> </w:t>
      </w:r>
      <w:r w:rsidRPr="00367CE8">
        <w:t>http://plato.stanford.edu/entries/induction-problem/#HumInd</w:t>
      </w:r>
      <w:r>
        <w:t>.</w:t>
      </w:r>
    </w:p>
    <w:sectPr w:rsidR="00367CE8" w:rsidRPr="00367CE8" w:rsidSect="00EA6A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755F"/>
    <w:rsid w:val="00005167"/>
    <w:rsid w:val="00037476"/>
    <w:rsid w:val="000B4315"/>
    <w:rsid w:val="000D3484"/>
    <w:rsid w:val="0016439B"/>
    <w:rsid w:val="001D01B7"/>
    <w:rsid w:val="001E09F8"/>
    <w:rsid w:val="00291AFA"/>
    <w:rsid w:val="002A0A7E"/>
    <w:rsid w:val="0031534F"/>
    <w:rsid w:val="00336ED0"/>
    <w:rsid w:val="00367CE8"/>
    <w:rsid w:val="003B37DC"/>
    <w:rsid w:val="00442A00"/>
    <w:rsid w:val="004A755F"/>
    <w:rsid w:val="0052108A"/>
    <w:rsid w:val="005B7BDD"/>
    <w:rsid w:val="00610E86"/>
    <w:rsid w:val="006D2186"/>
    <w:rsid w:val="0087216A"/>
    <w:rsid w:val="00956D31"/>
    <w:rsid w:val="00964F26"/>
    <w:rsid w:val="009670AE"/>
    <w:rsid w:val="009A4A76"/>
    <w:rsid w:val="009E62A9"/>
    <w:rsid w:val="009F3AF5"/>
    <w:rsid w:val="00A05F89"/>
    <w:rsid w:val="00AA1082"/>
    <w:rsid w:val="00AD4841"/>
    <w:rsid w:val="00B6450B"/>
    <w:rsid w:val="00D409D8"/>
    <w:rsid w:val="00EA6AB9"/>
    <w:rsid w:val="00F33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5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16</cp:revision>
  <dcterms:created xsi:type="dcterms:W3CDTF">2013-04-29T19:18:00Z</dcterms:created>
  <dcterms:modified xsi:type="dcterms:W3CDTF">2013-04-30T00:23:00Z</dcterms:modified>
</cp:coreProperties>
</file>